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7A7B" w14:textId="1444B9A6" w:rsidR="00421F5D" w:rsidRPr="00FF6EA6" w:rsidRDefault="005F67FC">
      <w:pPr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2BCA8F" wp14:editId="52E0C725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230630" cy="714375"/>
            <wp:effectExtent l="0" t="0" r="7620" b="9525"/>
            <wp:wrapTight wrapText="bothSides">
              <wp:wrapPolygon edited="0">
                <wp:start x="0" y="0"/>
                <wp:lineTo x="0" y="21312"/>
                <wp:lineTo x="21399" y="21312"/>
                <wp:lineTo x="21399" y="0"/>
                <wp:lineTo x="0" y="0"/>
              </wp:wrapPolygon>
            </wp:wrapTight>
            <wp:docPr id="1026" name="Picture 2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157039F4-0184-4598-8CDA-9158030011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lated image">
                      <a:extLst>
                        <a:ext uri="{FF2B5EF4-FFF2-40B4-BE49-F238E27FC236}">
                          <a16:creationId xmlns:a16="http://schemas.microsoft.com/office/drawing/2014/main" id="{157039F4-0184-4598-8CDA-9158030011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03" b="6446"/>
                    <a:stretch/>
                  </pic:blipFill>
                  <pic:spPr bwMode="auto">
                    <a:xfrm>
                      <a:off x="0" y="0"/>
                      <a:ext cx="123063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F5D" w:rsidRPr="00FF6EA6">
        <w:rPr>
          <w:rFonts w:ascii="Times New Roman" w:hAnsi="Times New Roman" w:cs="Times New Roman"/>
          <w:sz w:val="24"/>
          <w:szCs w:val="24"/>
        </w:rPr>
        <w:t>Andret Rayford, Program Director</w:t>
      </w:r>
    </w:p>
    <w:p w14:paraId="38F7E6FC" w14:textId="3F482EA6" w:rsidR="00421F5D" w:rsidRPr="00FF6EA6" w:rsidRDefault="00421F5D">
      <w:pPr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>STAJS Consultant</w:t>
      </w:r>
      <w:r w:rsidR="00355C71" w:rsidRPr="00FF6EA6">
        <w:rPr>
          <w:rFonts w:ascii="Times New Roman" w:hAnsi="Times New Roman" w:cs="Times New Roman"/>
          <w:sz w:val="24"/>
          <w:szCs w:val="24"/>
        </w:rPr>
        <w:t>, “THE PLACE”</w:t>
      </w:r>
    </w:p>
    <w:p w14:paraId="6371554B" w14:textId="55D89F99" w:rsidR="00421F5D" w:rsidRPr="00FF6EA6" w:rsidRDefault="005F6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Planning Consultant</w:t>
      </w:r>
    </w:p>
    <w:p w14:paraId="2EE8AAE5" w14:textId="4A50D44F" w:rsidR="00421F5D" w:rsidRPr="00FF6EA6" w:rsidRDefault="00421F5D">
      <w:pPr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 xml:space="preserve">Subject: </w:t>
      </w:r>
      <w:r w:rsidR="00957B65">
        <w:rPr>
          <w:rFonts w:ascii="Times New Roman" w:hAnsi="Times New Roman" w:cs="Times New Roman"/>
          <w:sz w:val="24"/>
          <w:szCs w:val="24"/>
        </w:rPr>
        <w:t>RFP-</w:t>
      </w:r>
      <w:r w:rsidRPr="00FF6EA6">
        <w:rPr>
          <w:rFonts w:ascii="Times New Roman" w:hAnsi="Times New Roman" w:cs="Times New Roman"/>
          <w:sz w:val="24"/>
          <w:szCs w:val="24"/>
        </w:rPr>
        <w:t>Settegast, Houston TX 77028</w:t>
      </w:r>
    </w:p>
    <w:p w14:paraId="7C041BB1" w14:textId="3B1FE043" w:rsidR="00421F5D" w:rsidRPr="00FF6EA6" w:rsidRDefault="00421F5D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 xml:space="preserve">The Complete Communities Initiative was established to collaborate, impact, transform and improve </w:t>
      </w:r>
      <w:r w:rsidR="00F901F0" w:rsidRPr="00FF6EA6">
        <w:rPr>
          <w:rFonts w:ascii="Times New Roman" w:hAnsi="Times New Roman" w:cs="Times New Roman"/>
          <w:sz w:val="24"/>
          <w:szCs w:val="24"/>
        </w:rPr>
        <w:t xml:space="preserve">communities of color.  </w:t>
      </w:r>
      <w:r w:rsidR="00DF6B03" w:rsidRPr="00FF6EA6">
        <w:rPr>
          <w:rFonts w:ascii="Times New Roman" w:hAnsi="Times New Roman" w:cs="Times New Roman"/>
          <w:sz w:val="24"/>
          <w:szCs w:val="24"/>
        </w:rPr>
        <w:t xml:space="preserve">Complete Communities’ definition is a working project with mechanisms to identify the qualities that lead to a thriving neighborhood’s future.  </w:t>
      </w:r>
      <w:r w:rsidR="00F901F0" w:rsidRPr="00FF6EA6">
        <w:rPr>
          <w:rFonts w:ascii="Times New Roman" w:hAnsi="Times New Roman" w:cs="Times New Roman"/>
          <w:sz w:val="24"/>
          <w:szCs w:val="24"/>
        </w:rPr>
        <w:t xml:space="preserve">The initiative </w:t>
      </w:r>
      <w:r w:rsidR="00DF6B03" w:rsidRPr="00FF6EA6">
        <w:rPr>
          <w:rFonts w:ascii="Times New Roman" w:hAnsi="Times New Roman" w:cs="Times New Roman"/>
          <w:sz w:val="24"/>
          <w:szCs w:val="24"/>
        </w:rPr>
        <w:t xml:space="preserve">is designed to </w:t>
      </w:r>
      <w:r w:rsidR="00F901F0" w:rsidRPr="00FF6EA6">
        <w:rPr>
          <w:rFonts w:ascii="Times New Roman" w:hAnsi="Times New Roman" w:cs="Times New Roman"/>
          <w:sz w:val="24"/>
          <w:szCs w:val="24"/>
        </w:rPr>
        <w:t>advocat</w:t>
      </w:r>
      <w:r w:rsidR="00DF6B03" w:rsidRPr="00FF6EA6">
        <w:rPr>
          <w:rFonts w:ascii="Times New Roman" w:hAnsi="Times New Roman" w:cs="Times New Roman"/>
          <w:sz w:val="24"/>
          <w:szCs w:val="24"/>
        </w:rPr>
        <w:t>e</w:t>
      </w:r>
      <w:r w:rsidR="00F901F0" w:rsidRPr="00FF6EA6">
        <w:rPr>
          <w:rFonts w:ascii="Times New Roman" w:hAnsi="Times New Roman" w:cs="Times New Roman"/>
          <w:sz w:val="24"/>
          <w:szCs w:val="24"/>
        </w:rPr>
        <w:t xml:space="preserve"> and strengthen many low-income</w:t>
      </w:r>
      <w:r w:rsidR="00DF6B03" w:rsidRPr="00FF6EA6">
        <w:rPr>
          <w:rFonts w:ascii="Times New Roman" w:hAnsi="Times New Roman" w:cs="Times New Roman"/>
          <w:sz w:val="24"/>
          <w:szCs w:val="24"/>
        </w:rPr>
        <w:t>,</w:t>
      </w:r>
      <w:r w:rsidR="00F901F0" w:rsidRPr="00FF6EA6">
        <w:rPr>
          <w:rFonts w:ascii="Times New Roman" w:hAnsi="Times New Roman" w:cs="Times New Roman"/>
          <w:sz w:val="24"/>
          <w:szCs w:val="24"/>
        </w:rPr>
        <w:t xml:space="preserve"> small neighborhoods </w:t>
      </w:r>
      <w:r w:rsidR="00D94E35" w:rsidRPr="00FF6EA6">
        <w:rPr>
          <w:rFonts w:ascii="Times New Roman" w:hAnsi="Times New Roman" w:cs="Times New Roman"/>
          <w:sz w:val="24"/>
          <w:szCs w:val="24"/>
        </w:rPr>
        <w:t>for</w:t>
      </w:r>
      <w:r w:rsidR="00F901F0" w:rsidRPr="00FF6EA6">
        <w:rPr>
          <w:rFonts w:ascii="Times New Roman" w:hAnsi="Times New Roman" w:cs="Times New Roman"/>
          <w:sz w:val="24"/>
          <w:szCs w:val="24"/>
        </w:rPr>
        <w:t xml:space="preserve"> better quality of life.  As of 2017, Mayor Sylvester Turner initiated Complete Communities as a pilot program in 5 locations: Third Ward, Acres Home, Gulfton, near Northside and Second Ward with different need assessments</w:t>
      </w:r>
      <w:r w:rsidR="00DF6B03" w:rsidRPr="00FF6EA6">
        <w:rPr>
          <w:rFonts w:ascii="Times New Roman" w:hAnsi="Times New Roman" w:cs="Times New Roman"/>
          <w:sz w:val="24"/>
          <w:szCs w:val="24"/>
        </w:rPr>
        <w:t xml:space="preserve"> and challenges</w:t>
      </w:r>
      <w:r w:rsidR="00F901F0" w:rsidRPr="00FF6EA6">
        <w:rPr>
          <w:rFonts w:ascii="Times New Roman" w:hAnsi="Times New Roman" w:cs="Times New Roman"/>
          <w:sz w:val="24"/>
          <w:szCs w:val="24"/>
        </w:rPr>
        <w:t xml:space="preserve">.  Each community was assigned a City Planner to </w:t>
      </w:r>
      <w:r w:rsidR="00D94E35" w:rsidRPr="00FF6EA6">
        <w:rPr>
          <w:rFonts w:ascii="Times New Roman" w:hAnsi="Times New Roman" w:cs="Times New Roman"/>
          <w:sz w:val="24"/>
          <w:szCs w:val="24"/>
        </w:rPr>
        <w:t>research</w:t>
      </w:r>
      <w:r w:rsidR="00F901F0" w:rsidRPr="00FF6EA6">
        <w:rPr>
          <w:rFonts w:ascii="Times New Roman" w:hAnsi="Times New Roman" w:cs="Times New Roman"/>
          <w:sz w:val="24"/>
          <w:szCs w:val="24"/>
        </w:rPr>
        <w:t>,</w:t>
      </w:r>
      <w:r w:rsidR="00D94E35" w:rsidRPr="00FF6EA6">
        <w:rPr>
          <w:rFonts w:ascii="Times New Roman" w:hAnsi="Times New Roman" w:cs="Times New Roman"/>
          <w:sz w:val="24"/>
          <w:szCs w:val="24"/>
        </w:rPr>
        <w:t xml:space="preserve"> plan,</w:t>
      </w:r>
      <w:r w:rsidR="00F901F0" w:rsidRPr="00FF6EA6">
        <w:rPr>
          <w:rFonts w:ascii="Times New Roman" w:hAnsi="Times New Roman" w:cs="Times New Roman"/>
          <w:sz w:val="24"/>
          <w:szCs w:val="24"/>
        </w:rPr>
        <w:t xml:space="preserve"> support and develop a vision with stakeholders for specific knowledge and engagemen</w:t>
      </w:r>
      <w:r w:rsidR="00D94E35" w:rsidRPr="00FF6EA6">
        <w:rPr>
          <w:rFonts w:ascii="Times New Roman" w:hAnsi="Times New Roman" w:cs="Times New Roman"/>
          <w:sz w:val="24"/>
          <w:szCs w:val="24"/>
        </w:rPr>
        <w:t>t</w:t>
      </w:r>
      <w:r w:rsidR="00F901F0" w:rsidRPr="00FF6EA6">
        <w:rPr>
          <w:rFonts w:ascii="Times New Roman" w:hAnsi="Times New Roman" w:cs="Times New Roman"/>
          <w:sz w:val="24"/>
          <w:szCs w:val="24"/>
        </w:rPr>
        <w:t>.</w:t>
      </w:r>
    </w:p>
    <w:p w14:paraId="56F1A23C" w14:textId="4D229C80" w:rsidR="00D94E35" w:rsidRPr="00FF6EA6" w:rsidRDefault="00D94E35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>The five communities shared their insights, values and visions by attending fourteen public meetings with faith-based organizations, business owners, neighborhood civic leader, schools and residents to identify priorities to ensure the community can revitalize and rebuild.  The communities serve as a sounding board for the effort to provide connection to residents and businesses for healthy, prosper</w:t>
      </w:r>
      <w:r w:rsidR="00DF6B03" w:rsidRPr="00FF6EA6">
        <w:rPr>
          <w:rFonts w:ascii="Times New Roman" w:hAnsi="Times New Roman" w:cs="Times New Roman"/>
          <w:sz w:val="24"/>
          <w:szCs w:val="24"/>
        </w:rPr>
        <w:t>ity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 and</w:t>
      </w:r>
      <w:r w:rsidR="00DF6B03" w:rsidRPr="00FF6EA6">
        <w:rPr>
          <w:rFonts w:ascii="Times New Roman" w:hAnsi="Times New Roman" w:cs="Times New Roman"/>
          <w:sz w:val="24"/>
          <w:szCs w:val="24"/>
        </w:rPr>
        <w:t xml:space="preserve"> equity for the greater good.   After a year of collaboration and engagement with the five communities an Action Plan was outlined with visions, goals, objectives and projects for resilience, sustainability and socioeconomic growth.  </w:t>
      </w:r>
      <w:r w:rsidR="00303E48" w:rsidRPr="00FF6EA6">
        <w:rPr>
          <w:rFonts w:ascii="Times New Roman" w:hAnsi="Times New Roman" w:cs="Times New Roman"/>
          <w:sz w:val="24"/>
          <w:szCs w:val="24"/>
        </w:rPr>
        <w:t>The city has extended the program to five other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 </w:t>
      </w:r>
      <w:r w:rsidR="00303E48" w:rsidRPr="00FF6EA6">
        <w:rPr>
          <w:rFonts w:ascii="Times New Roman" w:hAnsi="Times New Roman" w:cs="Times New Roman"/>
          <w:sz w:val="24"/>
          <w:szCs w:val="24"/>
        </w:rPr>
        <w:t>neighborhoods; Alief, Fort Bend, Houston, Kashmere Gardens, Magnolia-Manchester and Sunnyside.  Another distressed neighborhood, a customer of STAJS Consultant, is Settegast, Houston 77028.</w:t>
      </w:r>
    </w:p>
    <w:p w14:paraId="02241273" w14:textId="0287AC57" w:rsidR="00A36BF5" w:rsidRDefault="00DF6B03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 xml:space="preserve">STAJS Consultant was created to provide support </w:t>
      </w:r>
      <w:r w:rsidR="00355C71" w:rsidRPr="00FF6EA6">
        <w:rPr>
          <w:rFonts w:ascii="Times New Roman" w:hAnsi="Times New Roman" w:cs="Times New Roman"/>
          <w:sz w:val="24"/>
          <w:szCs w:val="24"/>
        </w:rPr>
        <w:t xml:space="preserve">to 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a </w:t>
      </w:r>
      <w:r w:rsidR="00355C71" w:rsidRPr="00FF6EA6">
        <w:rPr>
          <w:rFonts w:ascii="Times New Roman" w:hAnsi="Times New Roman" w:cs="Times New Roman"/>
          <w:sz w:val="24"/>
          <w:szCs w:val="24"/>
        </w:rPr>
        <w:t>communit</w:t>
      </w:r>
      <w:r w:rsidR="0069510A" w:rsidRPr="00FF6EA6">
        <w:rPr>
          <w:rFonts w:ascii="Times New Roman" w:hAnsi="Times New Roman" w:cs="Times New Roman"/>
          <w:sz w:val="24"/>
          <w:szCs w:val="24"/>
        </w:rPr>
        <w:t>y</w:t>
      </w:r>
      <w:r w:rsidR="00355C71" w:rsidRPr="00FF6EA6">
        <w:rPr>
          <w:rFonts w:ascii="Times New Roman" w:hAnsi="Times New Roman" w:cs="Times New Roman"/>
          <w:sz w:val="24"/>
          <w:szCs w:val="24"/>
        </w:rPr>
        <w:t xml:space="preserve"> not involved in </w:t>
      </w:r>
      <w:r w:rsidRPr="00FF6EA6">
        <w:rPr>
          <w:rFonts w:ascii="Times New Roman" w:hAnsi="Times New Roman" w:cs="Times New Roman"/>
          <w:sz w:val="24"/>
          <w:szCs w:val="24"/>
        </w:rPr>
        <w:t xml:space="preserve">Complete Communities Initiative </w:t>
      </w:r>
      <w:r w:rsidR="00355C71" w:rsidRPr="00FF6EA6">
        <w:rPr>
          <w:rFonts w:ascii="Times New Roman" w:hAnsi="Times New Roman" w:cs="Times New Roman"/>
          <w:sz w:val="24"/>
          <w:szCs w:val="24"/>
        </w:rPr>
        <w:t>as</w:t>
      </w:r>
      <w:r w:rsidRPr="00FF6EA6">
        <w:rPr>
          <w:rFonts w:ascii="Times New Roman" w:hAnsi="Times New Roman" w:cs="Times New Roman"/>
          <w:sz w:val="24"/>
          <w:szCs w:val="24"/>
        </w:rPr>
        <w:t xml:space="preserve"> the </w:t>
      </w:r>
      <w:r w:rsidR="00355C71" w:rsidRPr="00FF6EA6">
        <w:rPr>
          <w:rFonts w:ascii="Times New Roman" w:hAnsi="Times New Roman" w:cs="Times New Roman"/>
          <w:sz w:val="24"/>
          <w:szCs w:val="24"/>
        </w:rPr>
        <w:t>ten</w:t>
      </w:r>
      <w:r w:rsidRPr="00FF6EA6">
        <w:rPr>
          <w:rFonts w:ascii="Times New Roman" w:hAnsi="Times New Roman" w:cs="Times New Roman"/>
          <w:sz w:val="24"/>
          <w:szCs w:val="24"/>
        </w:rPr>
        <w:t xml:space="preserve"> communities </w:t>
      </w:r>
      <w:r w:rsidR="0069510A" w:rsidRPr="00FF6EA6">
        <w:rPr>
          <w:rFonts w:ascii="Times New Roman" w:hAnsi="Times New Roman" w:cs="Times New Roman"/>
          <w:sz w:val="24"/>
          <w:szCs w:val="24"/>
        </w:rPr>
        <w:t>list</w:t>
      </w:r>
      <w:r w:rsidRPr="00FF6EA6">
        <w:rPr>
          <w:rFonts w:ascii="Times New Roman" w:hAnsi="Times New Roman" w:cs="Times New Roman"/>
          <w:sz w:val="24"/>
          <w:szCs w:val="24"/>
        </w:rPr>
        <w:t xml:space="preserve">ed above.  </w:t>
      </w:r>
      <w:r w:rsidR="00355C71" w:rsidRPr="00FF6EA6">
        <w:rPr>
          <w:rFonts w:ascii="Times New Roman" w:hAnsi="Times New Roman" w:cs="Times New Roman"/>
          <w:sz w:val="24"/>
          <w:szCs w:val="24"/>
        </w:rPr>
        <w:t>The city has new community developed neighborhood sub-division</w:t>
      </w:r>
      <w:r w:rsidR="0069510A" w:rsidRPr="00FF6EA6">
        <w:rPr>
          <w:rFonts w:ascii="Times New Roman" w:hAnsi="Times New Roman" w:cs="Times New Roman"/>
          <w:sz w:val="24"/>
          <w:szCs w:val="24"/>
        </w:rPr>
        <w:t>s</w:t>
      </w:r>
      <w:r w:rsidR="00355C71" w:rsidRPr="00FF6EA6">
        <w:rPr>
          <w:rFonts w:ascii="Times New Roman" w:hAnsi="Times New Roman" w:cs="Times New Roman"/>
          <w:sz w:val="24"/>
          <w:szCs w:val="24"/>
        </w:rPr>
        <w:t xml:space="preserve"> growing and aging communities are in distress.  </w:t>
      </w:r>
      <w:r w:rsidRPr="00FF6EA6">
        <w:rPr>
          <w:rFonts w:ascii="Times New Roman" w:hAnsi="Times New Roman" w:cs="Times New Roman"/>
          <w:sz w:val="24"/>
          <w:szCs w:val="24"/>
        </w:rPr>
        <w:t xml:space="preserve">I have </w:t>
      </w:r>
      <w:r w:rsidR="00303E48" w:rsidRPr="00FF6EA6">
        <w:rPr>
          <w:rFonts w:ascii="Times New Roman" w:hAnsi="Times New Roman" w:cs="Times New Roman"/>
          <w:sz w:val="24"/>
          <w:szCs w:val="24"/>
        </w:rPr>
        <w:t>my graduate degree in Education Administration and Urban Planning Environmental Policy</w:t>
      </w:r>
      <w:r w:rsidR="006D4933" w:rsidRPr="00FF6EA6">
        <w:rPr>
          <w:rFonts w:ascii="Times New Roman" w:hAnsi="Times New Roman" w:cs="Times New Roman"/>
          <w:sz w:val="24"/>
          <w:szCs w:val="24"/>
        </w:rPr>
        <w:t xml:space="preserve"> (UPEP)</w:t>
      </w:r>
      <w:r w:rsidR="00303E48" w:rsidRPr="00FF6EA6">
        <w:rPr>
          <w:rFonts w:ascii="Times New Roman" w:hAnsi="Times New Roman" w:cs="Times New Roman"/>
          <w:sz w:val="24"/>
          <w:szCs w:val="24"/>
        </w:rPr>
        <w:t xml:space="preserve"> fr</w:t>
      </w:r>
      <w:r w:rsidR="007C1AE4">
        <w:rPr>
          <w:rFonts w:ascii="Times New Roman" w:hAnsi="Times New Roman" w:cs="Times New Roman"/>
          <w:sz w:val="24"/>
          <w:szCs w:val="24"/>
        </w:rPr>
        <w:t>om</w:t>
      </w:r>
      <w:r w:rsidR="00303E48" w:rsidRPr="00FF6EA6">
        <w:rPr>
          <w:rFonts w:ascii="Times New Roman" w:hAnsi="Times New Roman" w:cs="Times New Roman"/>
          <w:sz w:val="24"/>
          <w:szCs w:val="24"/>
        </w:rPr>
        <w:t xml:space="preserve"> Texas Southern University</w:t>
      </w:r>
      <w:r w:rsidR="006D4933" w:rsidRPr="00FF6EA6">
        <w:rPr>
          <w:rFonts w:ascii="Times New Roman" w:hAnsi="Times New Roman" w:cs="Times New Roman"/>
          <w:sz w:val="24"/>
          <w:szCs w:val="24"/>
        </w:rPr>
        <w:t xml:space="preserve"> (TxSU)</w:t>
      </w:r>
      <w:r w:rsidR="00303E48" w:rsidRPr="00FF6EA6">
        <w:rPr>
          <w:rFonts w:ascii="Times New Roman" w:hAnsi="Times New Roman" w:cs="Times New Roman"/>
          <w:sz w:val="24"/>
          <w:szCs w:val="24"/>
        </w:rPr>
        <w:t xml:space="preserve">.  The UPEP </w:t>
      </w:r>
      <w:r w:rsidR="00355C71" w:rsidRPr="00FF6EA6">
        <w:rPr>
          <w:rFonts w:ascii="Times New Roman" w:hAnsi="Times New Roman" w:cs="Times New Roman"/>
          <w:sz w:val="24"/>
          <w:szCs w:val="24"/>
        </w:rPr>
        <w:t xml:space="preserve">education </w:t>
      </w:r>
      <w:r w:rsidR="00303E48" w:rsidRPr="00FF6EA6">
        <w:rPr>
          <w:rFonts w:ascii="Times New Roman" w:hAnsi="Times New Roman" w:cs="Times New Roman"/>
          <w:sz w:val="24"/>
          <w:szCs w:val="24"/>
        </w:rPr>
        <w:t>has giv</w:t>
      </w:r>
      <w:r w:rsidR="00355C71" w:rsidRPr="00FF6EA6">
        <w:rPr>
          <w:rFonts w:ascii="Times New Roman" w:hAnsi="Times New Roman" w:cs="Times New Roman"/>
          <w:sz w:val="24"/>
          <w:szCs w:val="24"/>
        </w:rPr>
        <w:t>en</w:t>
      </w:r>
      <w:r w:rsidR="00303E48" w:rsidRPr="00FF6EA6">
        <w:rPr>
          <w:rFonts w:ascii="Times New Roman" w:hAnsi="Times New Roman" w:cs="Times New Roman"/>
          <w:sz w:val="24"/>
          <w:szCs w:val="24"/>
        </w:rPr>
        <w:t xml:space="preserve"> me the </w:t>
      </w:r>
      <w:r w:rsidR="00355C71" w:rsidRPr="00FF6EA6">
        <w:rPr>
          <w:rFonts w:ascii="Times New Roman" w:hAnsi="Times New Roman" w:cs="Times New Roman"/>
          <w:sz w:val="24"/>
          <w:szCs w:val="24"/>
        </w:rPr>
        <w:t>e</w:t>
      </w:r>
      <w:r w:rsidR="00303E48" w:rsidRPr="00FF6EA6">
        <w:rPr>
          <w:rFonts w:ascii="Times New Roman" w:hAnsi="Times New Roman" w:cs="Times New Roman"/>
          <w:sz w:val="24"/>
          <w:szCs w:val="24"/>
        </w:rPr>
        <w:t>xperience to support and conduct community engagement with stakeholders in low-income</w:t>
      </w:r>
      <w:r w:rsidR="00355C71" w:rsidRPr="00FF6EA6">
        <w:rPr>
          <w:rFonts w:ascii="Times New Roman" w:hAnsi="Times New Roman" w:cs="Times New Roman"/>
          <w:sz w:val="24"/>
          <w:szCs w:val="24"/>
        </w:rPr>
        <w:t>, underserved</w:t>
      </w:r>
      <w:r w:rsidR="00303E48" w:rsidRPr="00FF6EA6">
        <w:rPr>
          <w:rFonts w:ascii="Times New Roman" w:hAnsi="Times New Roman" w:cs="Times New Roman"/>
          <w:sz w:val="24"/>
          <w:szCs w:val="24"/>
        </w:rPr>
        <w:t xml:space="preserve"> neighborhoods.  My experience </w:t>
      </w:r>
      <w:r w:rsidR="006D4933" w:rsidRPr="00FF6EA6">
        <w:rPr>
          <w:rFonts w:ascii="Times New Roman" w:hAnsi="Times New Roman" w:cs="Times New Roman"/>
          <w:sz w:val="24"/>
          <w:szCs w:val="24"/>
        </w:rPr>
        <w:t>with American Planning Association (APA) Planning Student Organization (PSO) legacy project gave the TxSU Student Planning Organization {SPO} opportunity to create a design for Hitchcock Town Center corridor.  We won and was interviewed in the Galveston Daily with our plan to design and promote the small cit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y’s </w:t>
      </w:r>
      <w:r w:rsidR="006D4933" w:rsidRPr="00FF6EA6">
        <w:rPr>
          <w:rFonts w:ascii="Times New Roman" w:hAnsi="Times New Roman" w:cs="Times New Roman"/>
          <w:sz w:val="24"/>
          <w:szCs w:val="24"/>
        </w:rPr>
        <w:t xml:space="preserve">development.  We were asked to promote our city plan to Hutson-Tillotson HBCU Social Justice Summit and </w:t>
      </w:r>
      <w:r w:rsidR="00DD2D2D" w:rsidRPr="00FF6EA6">
        <w:rPr>
          <w:rFonts w:ascii="Times New Roman" w:hAnsi="Times New Roman" w:cs="Times New Roman"/>
          <w:sz w:val="24"/>
          <w:szCs w:val="24"/>
        </w:rPr>
        <w:t>prophesized</w:t>
      </w:r>
      <w:r w:rsidR="006D4933" w:rsidRPr="00FF6EA6">
        <w:rPr>
          <w:rFonts w:ascii="Times New Roman" w:hAnsi="Times New Roman" w:cs="Times New Roman"/>
          <w:sz w:val="24"/>
          <w:szCs w:val="24"/>
        </w:rPr>
        <w:t xml:space="preserve"> as consultants.  </w:t>
      </w:r>
    </w:p>
    <w:p w14:paraId="1046896F" w14:textId="77F6694E" w:rsidR="00DF6B03" w:rsidRPr="00FF6EA6" w:rsidRDefault="00DD2D2D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 xml:space="preserve">My first community project was </w:t>
      </w:r>
      <w:r w:rsidR="00AD62E4" w:rsidRPr="00FF6EA6">
        <w:rPr>
          <w:rFonts w:ascii="Times New Roman" w:hAnsi="Times New Roman" w:cs="Times New Roman"/>
          <w:sz w:val="24"/>
          <w:szCs w:val="24"/>
        </w:rPr>
        <w:t xml:space="preserve">introduced </w:t>
      </w:r>
      <w:r w:rsidRPr="00FF6EA6">
        <w:rPr>
          <w:rFonts w:ascii="Times New Roman" w:hAnsi="Times New Roman" w:cs="Times New Roman"/>
          <w:sz w:val="24"/>
          <w:szCs w:val="24"/>
        </w:rPr>
        <w:t>at TxSU Houston Community Land Trust conferenc</w:t>
      </w:r>
      <w:r w:rsidR="00433376">
        <w:rPr>
          <w:rFonts w:ascii="Times New Roman" w:hAnsi="Times New Roman" w:cs="Times New Roman"/>
          <w:sz w:val="24"/>
          <w:szCs w:val="24"/>
        </w:rPr>
        <w:t>e on June 13, 2019</w:t>
      </w:r>
      <w:r w:rsidR="005F53BB">
        <w:rPr>
          <w:rFonts w:ascii="Times New Roman" w:hAnsi="Times New Roman" w:cs="Times New Roman"/>
          <w:sz w:val="24"/>
          <w:szCs w:val="24"/>
        </w:rPr>
        <w:t xml:space="preserve">.  </w:t>
      </w:r>
      <w:r w:rsidR="00356E74" w:rsidRPr="00FF6EA6">
        <w:rPr>
          <w:rFonts w:ascii="Times New Roman" w:hAnsi="Times New Roman" w:cs="Times New Roman"/>
          <w:sz w:val="24"/>
          <w:szCs w:val="24"/>
        </w:rPr>
        <w:t>Dr. Rosalyn Francis</w:t>
      </w:r>
      <w:r w:rsidRPr="00FF6EA6">
        <w:rPr>
          <w:rFonts w:ascii="Times New Roman" w:hAnsi="Times New Roman" w:cs="Times New Roman"/>
          <w:sz w:val="24"/>
          <w:szCs w:val="24"/>
        </w:rPr>
        <w:t xml:space="preserve"> </w:t>
      </w:r>
      <w:r w:rsidR="00356E74" w:rsidRPr="00FF6EA6">
        <w:rPr>
          <w:rFonts w:ascii="Times New Roman" w:hAnsi="Times New Roman" w:cs="Times New Roman"/>
          <w:sz w:val="24"/>
          <w:szCs w:val="24"/>
        </w:rPr>
        <w:t xml:space="preserve">grew up in the area and decided to return as the Director of </w:t>
      </w:r>
      <w:r w:rsidRPr="00FF6EA6">
        <w:rPr>
          <w:rFonts w:ascii="Times New Roman" w:hAnsi="Times New Roman" w:cs="Times New Roman"/>
          <w:sz w:val="24"/>
          <w:szCs w:val="24"/>
        </w:rPr>
        <w:t xml:space="preserve">Settegast Heights Redevelopment Corporation (SHRC), </w:t>
      </w:r>
      <w:r w:rsidR="00356E74" w:rsidRPr="00FF6EA6">
        <w:rPr>
          <w:rFonts w:ascii="Times New Roman" w:hAnsi="Times New Roman" w:cs="Times New Roman"/>
          <w:sz w:val="24"/>
          <w:szCs w:val="24"/>
        </w:rPr>
        <w:t xml:space="preserve">we met and </w:t>
      </w:r>
      <w:r w:rsidRPr="00FF6EA6">
        <w:rPr>
          <w:rFonts w:ascii="Times New Roman" w:hAnsi="Times New Roman" w:cs="Times New Roman"/>
          <w:sz w:val="24"/>
          <w:szCs w:val="24"/>
        </w:rPr>
        <w:t>discussed her problems in the community.  She invited me to an investment meeting to discuss what role I would play</w:t>
      </w:r>
      <w:r w:rsidR="00356E74" w:rsidRPr="00FF6EA6">
        <w:rPr>
          <w:rFonts w:ascii="Times New Roman" w:hAnsi="Times New Roman" w:cs="Times New Roman"/>
          <w:sz w:val="24"/>
          <w:szCs w:val="24"/>
        </w:rPr>
        <w:t xml:space="preserve">, being an urban planner specialist would help her develop plans of the </w:t>
      </w:r>
      <w:r w:rsidR="005F67FC">
        <w:rPr>
          <w:rFonts w:ascii="Times New Roman" w:hAnsi="Times New Roman" w:cs="Times New Roman"/>
          <w:sz w:val="24"/>
          <w:szCs w:val="24"/>
        </w:rPr>
        <w:t>8</w:t>
      </w:r>
      <w:r w:rsidR="00356E74" w:rsidRPr="00FF6EA6">
        <w:rPr>
          <w:rFonts w:ascii="Times New Roman" w:hAnsi="Times New Roman" w:cs="Times New Roman"/>
          <w:sz w:val="24"/>
          <w:szCs w:val="24"/>
        </w:rPr>
        <w:t xml:space="preserve"> urban planning principles “THE PLACE”; transportation, health wellness, history preservation, housing affordability, educational training, </w:t>
      </w:r>
      <w:r w:rsidR="005F67FC">
        <w:rPr>
          <w:rFonts w:ascii="Times New Roman" w:hAnsi="Times New Roman" w:cs="Times New Roman"/>
          <w:sz w:val="24"/>
          <w:szCs w:val="24"/>
        </w:rPr>
        <w:t>entrepreneurship</w:t>
      </w:r>
      <w:r w:rsidR="005F67FC">
        <w:rPr>
          <w:rFonts w:ascii="Times New Roman" w:hAnsi="Times New Roman" w:cs="Times New Roman"/>
          <w:sz w:val="24"/>
          <w:szCs w:val="24"/>
        </w:rPr>
        <w:t xml:space="preserve">, economics and </w:t>
      </w:r>
      <w:r w:rsidR="00356E74" w:rsidRPr="00FF6EA6">
        <w:rPr>
          <w:rFonts w:ascii="Times New Roman" w:hAnsi="Times New Roman" w:cs="Times New Roman"/>
          <w:sz w:val="24"/>
          <w:szCs w:val="24"/>
        </w:rPr>
        <w:t>environmental sustainability</w:t>
      </w:r>
      <w:r w:rsidR="005F67FC">
        <w:rPr>
          <w:rFonts w:ascii="Times New Roman" w:hAnsi="Times New Roman" w:cs="Times New Roman"/>
          <w:sz w:val="24"/>
          <w:szCs w:val="24"/>
        </w:rPr>
        <w:t xml:space="preserve"> </w:t>
      </w:r>
      <w:r w:rsidR="00356E74" w:rsidRPr="00FF6EA6">
        <w:rPr>
          <w:rFonts w:ascii="Times New Roman" w:hAnsi="Times New Roman" w:cs="Times New Roman"/>
          <w:sz w:val="24"/>
          <w:szCs w:val="24"/>
        </w:rPr>
        <w:t xml:space="preserve">in public </w:t>
      </w:r>
      <w:r w:rsidR="00356E74" w:rsidRPr="00FF6EA6">
        <w:rPr>
          <w:rFonts w:ascii="Times New Roman" w:hAnsi="Times New Roman" w:cs="Times New Roman"/>
          <w:sz w:val="24"/>
          <w:szCs w:val="24"/>
        </w:rPr>
        <w:lastRenderedPageBreak/>
        <w:t xml:space="preserve">land-use and community engagement.  </w:t>
      </w:r>
      <w:r w:rsidR="00AD62E4" w:rsidRPr="00FF6EA6">
        <w:rPr>
          <w:rFonts w:ascii="Times New Roman" w:hAnsi="Times New Roman" w:cs="Times New Roman"/>
          <w:sz w:val="24"/>
          <w:szCs w:val="24"/>
        </w:rPr>
        <w:t>STAJS (stages) Consultant is the format of Complete Communities Initiative</w:t>
      </w:r>
      <w:r w:rsidR="00065363" w:rsidRPr="00FF6EA6">
        <w:rPr>
          <w:rFonts w:ascii="Times New Roman" w:hAnsi="Times New Roman" w:cs="Times New Roman"/>
          <w:sz w:val="24"/>
          <w:szCs w:val="24"/>
        </w:rPr>
        <w:t xml:space="preserve"> but more personalized to the community as </w:t>
      </w:r>
      <w:r w:rsidR="005F67FC">
        <w:rPr>
          <w:rFonts w:ascii="Times New Roman" w:hAnsi="Times New Roman" w:cs="Times New Roman"/>
          <w:sz w:val="24"/>
          <w:szCs w:val="24"/>
        </w:rPr>
        <w:t>a</w:t>
      </w:r>
      <w:r w:rsidR="00065363" w:rsidRPr="00FF6EA6">
        <w:rPr>
          <w:rFonts w:ascii="Times New Roman" w:hAnsi="Times New Roman" w:cs="Times New Roman"/>
          <w:sz w:val="24"/>
          <w:szCs w:val="24"/>
        </w:rPr>
        <w:t xml:space="preserve"> customer</w:t>
      </w:r>
      <w:r w:rsidR="00BF01C3">
        <w:rPr>
          <w:rFonts w:ascii="Times New Roman" w:hAnsi="Times New Roman" w:cs="Times New Roman"/>
          <w:sz w:val="24"/>
          <w:szCs w:val="24"/>
        </w:rPr>
        <w:t xml:space="preserve"> </w:t>
      </w:r>
      <w:r w:rsidR="00E81AE3">
        <w:rPr>
          <w:rFonts w:ascii="Times New Roman" w:hAnsi="Times New Roman" w:cs="Times New Roman"/>
          <w:sz w:val="24"/>
          <w:szCs w:val="24"/>
        </w:rPr>
        <w:t>assessment</w:t>
      </w:r>
      <w:r w:rsidR="00065363" w:rsidRPr="00FF6EA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65363" w:rsidRPr="00FF6EA6">
        <w:rPr>
          <w:rFonts w:ascii="Times New Roman" w:hAnsi="Times New Roman" w:cs="Times New Roman"/>
          <w:sz w:val="24"/>
          <w:szCs w:val="24"/>
        </w:rPr>
        <w:t xml:space="preserve">  This will create the specific model to fit that community with 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a </w:t>
      </w:r>
      <w:r w:rsidR="00065363" w:rsidRPr="00FF6EA6">
        <w:rPr>
          <w:rFonts w:ascii="Times New Roman" w:hAnsi="Times New Roman" w:cs="Times New Roman"/>
          <w:sz w:val="24"/>
          <w:szCs w:val="24"/>
        </w:rPr>
        <w:t>SWOT analysis and need assessment</w:t>
      </w:r>
      <w:r w:rsidR="0069510A" w:rsidRPr="00FF6EA6">
        <w:rPr>
          <w:rFonts w:ascii="Times New Roman" w:hAnsi="Times New Roman" w:cs="Times New Roman"/>
          <w:sz w:val="24"/>
          <w:szCs w:val="24"/>
        </w:rPr>
        <w:t>s</w:t>
      </w:r>
      <w:r w:rsidR="00065363" w:rsidRPr="00FF6EA6">
        <w:rPr>
          <w:rFonts w:ascii="Times New Roman" w:hAnsi="Times New Roman" w:cs="Times New Roman"/>
          <w:sz w:val="24"/>
          <w:szCs w:val="24"/>
        </w:rPr>
        <w:t xml:space="preserve"> for all stakeholders.  STAJS Consultant and SHRC started coordinating and collaborating since June 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26. </w:t>
      </w:r>
      <w:r w:rsidR="00065363" w:rsidRPr="00FF6EA6">
        <w:rPr>
          <w:rFonts w:ascii="Times New Roman" w:hAnsi="Times New Roman" w:cs="Times New Roman"/>
          <w:sz w:val="24"/>
          <w:szCs w:val="24"/>
        </w:rPr>
        <w:t>2019.</w:t>
      </w:r>
    </w:p>
    <w:p w14:paraId="2CF42674" w14:textId="1CB2A8E3" w:rsidR="00D94E35" w:rsidRPr="00FF6EA6" w:rsidRDefault="00065363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 xml:space="preserve">The study area map in northeast Houston, 610 and North Wayside to Ley Road, east/west, South Pacific Rail Road to East Houston Road.  </w:t>
      </w:r>
    </w:p>
    <w:p w14:paraId="5D617F8A" w14:textId="12733C0C" w:rsidR="00A36BF5" w:rsidRPr="00A36BF5" w:rsidRDefault="00065363" w:rsidP="00A36BF5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65363">
        <w:rPr>
          <w:rFonts w:ascii="Times New Roman" w:hAnsi="Times New Roman" w:cs="Times New Roman"/>
          <w:b/>
          <w:bCs/>
          <w:sz w:val="24"/>
          <w:szCs w:val="24"/>
        </w:rPr>
        <w:t xml:space="preserve">Settegast 77028 CT 2309 </w:t>
      </w:r>
      <w:r w:rsidR="00031330" w:rsidRPr="00FF6EA6">
        <w:rPr>
          <w:rFonts w:ascii="Times New Roman" w:hAnsi="Times New Roman" w:cs="Times New Roman"/>
          <w:b/>
          <w:bCs/>
          <w:sz w:val="24"/>
          <w:szCs w:val="24"/>
        </w:rPr>
        <w:t xml:space="preserve">Block 3 </w:t>
      </w:r>
      <w:r w:rsidR="00B6520B" w:rsidRPr="00FF6EA6">
        <w:rPr>
          <w:rFonts w:ascii="Times New Roman" w:hAnsi="Times New Roman" w:cs="Times New Roman"/>
          <w:b/>
          <w:bCs/>
          <w:sz w:val="24"/>
          <w:szCs w:val="24"/>
        </w:rPr>
        <w:t>Demographics</w:t>
      </w:r>
      <w:r w:rsidR="00FF6E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A36BF5" w:rsidRPr="00A36BF5">
          <w:rPr>
            <w:rStyle w:val="Hyperlink"/>
            <w:rFonts w:ascii="Times New Roman" w:hAnsi="Times New Roman" w:cs="Times New Roman"/>
            <w:b/>
            <w:bCs/>
            <w:sz w:val="16"/>
            <w:szCs w:val="16"/>
          </w:rPr>
          <w:t>https://www.houstontx.gov/planning/Demographics/docs_pdfs/SN/50_Settegast.pdf</w:t>
        </w:r>
      </w:hyperlink>
    </w:p>
    <w:p w14:paraId="1FCFE3C3" w14:textId="69D34949" w:rsidR="00065363" w:rsidRPr="00065363" w:rsidRDefault="005F67FC" w:rsidP="005F6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897FC" wp14:editId="7643F058">
            <wp:simplePos x="0" y="0"/>
            <wp:positionH relativeFrom="margin">
              <wp:posOffset>-19050</wp:posOffset>
            </wp:positionH>
            <wp:positionV relativeFrom="paragraph">
              <wp:posOffset>12700</wp:posOffset>
            </wp:positionV>
            <wp:extent cx="2009775" cy="2546350"/>
            <wp:effectExtent l="0" t="0" r="9525" b="6350"/>
            <wp:wrapTight wrapText="bothSides">
              <wp:wrapPolygon edited="0">
                <wp:start x="0" y="0"/>
                <wp:lineTo x="0" y="21492"/>
                <wp:lineTo x="21498" y="21492"/>
                <wp:lineTo x="21498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3D09AC3-454F-4533-A4A9-CAB1C0B9A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3D09AC3-454F-4533-A4A9-CAB1C0B9A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363" w:rsidRPr="00065363">
        <w:rPr>
          <w:rFonts w:ascii="Times New Roman" w:hAnsi="Times New Roman" w:cs="Times New Roman"/>
          <w:sz w:val="24"/>
          <w:szCs w:val="24"/>
        </w:rPr>
        <w:t xml:space="preserve">Population-4,270 Female </w:t>
      </w:r>
      <w:r w:rsidR="00330839" w:rsidRPr="00FF6EA6">
        <w:rPr>
          <w:rFonts w:ascii="Times New Roman" w:hAnsi="Times New Roman" w:cs="Times New Roman"/>
          <w:sz w:val="24"/>
          <w:szCs w:val="24"/>
        </w:rPr>
        <w:t>2,306 (</w:t>
      </w:r>
      <w:r w:rsidR="00065363" w:rsidRPr="00065363">
        <w:rPr>
          <w:rFonts w:ascii="Times New Roman" w:hAnsi="Times New Roman" w:cs="Times New Roman"/>
          <w:sz w:val="24"/>
          <w:szCs w:val="24"/>
        </w:rPr>
        <w:t>52%</w:t>
      </w:r>
      <w:r w:rsidR="00330839" w:rsidRPr="00FF6EA6">
        <w:rPr>
          <w:rFonts w:ascii="Times New Roman" w:hAnsi="Times New Roman" w:cs="Times New Roman"/>
          <w:sz w:val="24"/>
          <w:szCs w:val="24"/>
        </w:rPr>
        <w:t>)</w:t>
      </w:r>
      <w:r w:rsidR="00065363" w:rsidRPr="00065363">
        <w:rPr>
          <w:rFonts w:ascii="Times New Roman" w:hAnsi="Times New Roman" w:cs="Times New Roman"/>
          <w:sz w:val="24"/>
          <w:szCs w:val="24"/>
        </w:rPr>
        <w:t xml:space="preserve"> Male </w:t>
      </w:r>
      <w:r w:rsidR="00330839" w:rsidRPr="00FF6EA6">
        <w:rPr>
          <w:rFonts w:ascii="Times New Roman" w:hAnsi="Times New Roman" w:cs="Times New Roman"/>
          <w:sz w:val="24"/>
          <w:szCs w:val="24"/>
        </w:rPr>
        <w:t>1,964 (</w:t>
      </w:r>
      <w:r w:rsidR="00065363" w:rsidRPr="00065363">
        <w:rPr>
          <w:rFonts w:ascii="Times New Roman" w:hAnsi="Times New Roman" w:cs="Times New Roman"/>
          <w:sz w:val="24"/>
          <w:szCs w:val="24"/>
        </w:rPr>
        <w:t>48%</w:t>
      </w:r>
      <w:r w:rsidR="00330839" w:rsidRPr="00FF6EA6">
        <w:rPr>
          <w:rFonts w:ascii="Times New Roman" w:hAnsi="Times New Roman" w:cs="Times New Roman"/>
          <w:sz w:val="24"/>
          <w:szCs w:val="24"/>
        </w:rPr>
        <w:t>)</w:t>
      </w:r>
    </w:p>
    <w:p w14:paraId="05616AAA" w14:textId="77777777" w:rsidR="00065363" w:rsidRPr="00065363" w:rsidRDefault="00065363" w:rsidP="005F67F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 xml:space="preserve">Demographics: Blacks 3,154 (70%) </w:t>
      </w:r>
    </w:p>
    <w:p w14:paraId="05459F6D" w14:textId="55437F7F" w:rsidR="00065363" w:rsidRPr="00065363" w:rsidRDefault="00065363" w:rsidP="005F6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 xml:space="preserve">                          Hispanics 1,075 (27%) </w:t>
      </w:r>
    </w:p>
    <w:p w14:paraId="67FE6CFC" w14:textId="61C80442" w:rsidR="00065363" w:rsidRPr="00065363" w:rsidRDefault="00065363" w:rsidP="005F67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 xml:space="preserve">                          Whites 41(3%)</w:t>
      </w:r>
    </w:p>
    <w:p w14:paraId="26A7FFE7" w14:textId="77777777" w:rsidR="00065363" w:rsidRPr="00065363" w:rsidRDefault="00065363" w:rsidP="005F67F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Median income-$25,286</w:t>
      </w:r>
    </w:p>
    <w:p w14:paraId="1610FA2B" w14:textId="77777777" w:rsidR="00065363" w:rsidRPr="00065363" w:rsidRDefault="00065363" w:rsidP="005F67F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Median age-40</w:t>
      </w:r>
    </w:p>
    <w:p w14:paraId="2459EE68" w14:textId="77777777" w:rsidR="00065363" w:rsidRPr="00065363" w:rsidRDefault="00065363" w:rsidP="005F67F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Families with children-21%</w:t>
      </w:r>
    </w:p>
    <w:p w14:paraId="291BDAC2" w14:textId="77777777" w:rsidR="00065363" w:rsidRPr="00065363" w:rsidRDefault="00065363" w:rsidP="005F67F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Single mothers-22%</w:t>
      </w:r>
    </w:p>
    <w:p w14:paraId="2CA40930" w14:textId="77777777" w:rsidR="00065363" w:rsidRPr="00065363" w:rsidRDefault="00065363" w:rsidP="005F67F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Median houses built-1963</w:t>
      </w:r>
    </w:p>
    <w:p w14:paraId="2C013F92" w14:textId="77777777" w:rsidR="00065363" w:rsidRPr="00065363" w:rsidRDefault="00065363" w:rsidP="005F67F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 xml:space="preserve">Occupied housing units-1,501(74%) Vacant (26%)  </w:t>
      </w:r>
    </w:p>
    <w:p w14:paraId="46F0824E" w14:textId="77777777" w:rsidR="00065363" w:rsidRPr="00065363" w:rsidRDefault="00065363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Properties long-term tax liens 25%</w:t>
      </w:r>
    </w:p>
    <w:p w14:paraId="13C3C201" w14:textId="36F77151" w:rsidR="00065363" w:rsidRPr="00065363" w:rsidRDefault="00065363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Schools: Bennie Carl Elmore Elementary-Mrs. Fugit</w:t>
      </w:r>
      <w:r w:rsidR="00B6520B" w:rsidRPr="00FF6EA6">
        <w:rPr>
          <w:rFonts w:ascii="Times New Roman" w:hAnsi="Times New Roman" w:cs="Times New Roman"/>
          <w:sz w:val="24"/>
          <w:szCs w:val="24"/>
        </w:rPr>
        <w:t xml:space="preserve"> (only school located in the area)</w:t>
      </w:r>
      <w:r w:rsidRPr="000653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667C5" w14:textId="7EF62C83" w:rsidR="00065363" w:rsidRPr="00065363" w:rsidRDefault="00065363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 </w:t>
      </w:r>
      <w:r w:rsidRPr="00065363">
        <w:rPr>
          <w:rFonts w:ascii="Times New Roman" w:hAnsi="Times New Roman" w:cs="Times New Roman"/>
          <w:sz w:val="24"/>
          <w:szCs w:val="24"/>
        </w:rPr>
        <w:t xml:space="preserve"> Forest Brook Middle-Mrs. Gentry  </w:t>
      </w:r>
    </w:p>
    <w:p w14:paraId="22F7CE61" w14:textId="4516AB21" w:rsidR="00065363" w:rsidRPr="00065363" w:rsidRDefault="00065363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 </w:t>
      </w:r>
      <w:r w:rsidRPr="00065363">
        <w:rPr>
          <w:rFonts w:ascii="Times New Roman" w:hAnsi="Times New Roman" w:cs="Times New Roman"/>
          <w:sz w:val="24"/>
          <w:szCs w:val="24"/>
        </w:rPr>
        <w:t xml:space="preserve">North Forest High-Mrs. Smith </w:t>
      </w:r>
    </w:p>
    <w:p w14:paraId="6661BD47" w14:textId="77777777" w:rsidR="00031330" w:rsidRPr="00FF6EA6" w:rsidRDefault="00065363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5363">
        <w:rPr>
          <w:rFonts w:ascii="Times New Roman" w:hAnsi="Times New Roman" w:cs="Times New Roman"/>
          <w:sz w:val="24"/>
          <w:szCs w:val="24"/>
        </w:rPr>
        <w:t>Children below the poverty level 61%</w:t>
      </w:r>
      <w:r w:rsidR="00B6520B" w:rsidRPr="00FF6E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5229A" w14:textId="50499646" w:rsidR="00065363" w:rsidRDefault="00B6520B" w:rsidP="00E81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>High school diploma 1,757 (60%) No high school diploma 9</w:t>
      </w:r>
      <w:r w:rsidR="00031330" w:rsidRPr="00FF6EA6">
        <w:rPr>
          <w:rFonts w:ascii="Times New Roman" w:hAnsi="Times New Roman" w:cs="Times New Roman"/>
          <w:sz w:val="24"/>
          <w:szCs w:val="24"/>
        </w:rPr>
        <w:t>69 (33%)</w:t>
      </w:r>
    </w:p>
    <w:p w14:paraId="02E41FA8" w14:textId="77777777" w:rsidR="00E81AE3" w:rsidRDefault="00B6520B" w:rsidP="00E81A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B6520B">
        <w:rPr>
          <w:noProof/>
        </w:rPr>
        <w:drawing>
          <wp:inline distT="0" distB="0" distL="0" distR="0" wp14:anchorId="675FBD2D" wp14:editId="04A8618E">
            <wp:extent cx="2105025" cy="1713328"/>
            <wp:effectExtent l="0" t="0" r="0" b="1270"/>
            <wp:docPr id="10" name="Content Placeholder 9">
              <a:extLst xmlns:a="http://schemas.openxmlformats.org/drawingml/2006/main">
                <a:ext uri="{FF2B5EF4-FFF2-40B4-BE49-F238E27FC236}">
                  <a16:creationId xmlns:a16="http://schemas.microsoft.com/office/drawing/2014/main" id="{398C0451-FFF5-4AB4-9BCC-6BD8929A11A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>
                      <a:extLst>
                        <a:ext uri="{FF2B5EF4-FFF2-40B4-BE49-F238E27FC236}">
                          <a16:creationId xmlns:a16="http://schemas.microsoft.com/office/drawing/2014/main" id="{398C0451-FFF5-4AB4-9BCC-6BD8929A11A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5711" cy="177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20B">
        <w:rPr>
          <w:noProof/>
        </w:rPr>
        <w:drawing>
          <wp:inline distT="0" distB="0" distL="0" distR="0" wp14:anchorId="04FB012E" wp14:editId="789D8A65">
            <wp:extent cx="2047875" cy="1615273"/>
            <wp:effectExtent l="0" t="0" r="0" b="4445"/>
            <wp:docPr id="11" name="Content Placeholder 10">
              <a:extLst xmlns:a="http://schemas.openxmlformats.org/drawingml/2006/main">
                <a:ext uri="{FF2B5EF4-FFF2-40B4-BE49-F238E27FC236}">
                  <a16:creationId xmlns:a16="http://schemas.microsoft.com/office/drawing/2014/main" id="{5196CEAB-2677-4700-A833-D75EDF6DC70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>
                      <a:extLst>
                        <a:ext uri="{FF2B5EF4-FFF2-40B4-BE49-F238E27FC236}">
                          <a16:creationId xmlns:a16="http://schemas.microsoft.com/office/drawing/2014/main" id="{5196CEAB-2677-4700-A833-D75EDF6DC700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3231" cy="1635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E328D" w14:textId="689A3EFA" w:rsidR="00A36BF5" w:rsidRPr="00E81AE3" w:rsidRDefault="00A36BF5" w:rsidP="00E81AE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36BF5">
        <w:rPr>
          <w:rFonts w:ascii="Times New Roman" w:hAnsi="Times New Roman" w:cs="Times New Roman"/>
          <w:sz w:val="18"/>
          <w:szCs w:val="18"/>
        </w:rPr>
        <w:t xml:space="preserve">Settegast Houston, TX 77028 profile, </w:t>
      </w:r>
      <w:hyperlink r:id="rId12" w:history="1">
        <w:r w:rsidRPr="00A36BF5">
          <w:rPr>
            <w:rStyle w:val="Hyperlink"/>
            <w:rFonts w:ascii="Times New Roman" w:hAnsi="Times New Roman" w:cs="Times New Roman"/>
            <w:sz w:val="18"/>
            <w:szCs w:val="18"/>
          </w:rPr>
          <w:t>http://www.city-data.com/neighborhood/Settegast-Houston-TX.html</w:t>
        </w:r>
      </w:hyperlink>
    </w:p>
    <w:p w14:paraId="58211B95" w14:textId="77777777" w:rsidR="00B41066" w:rsidRPr="00FF6EA6" w:rsidRDefault="00330839" w:rsidP="00065363">
      <w:pPr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lastRenderedPageBreak/>
        <w:t xml:space="preserve">The community is 127 years old and all the 6 urban planning principles “THE PLACE” are affected. </w:t>
      </w:r>
      <w:r w:rsidR="0069510A" w:rsidRPr="00FF6EA6">
        <w:rPr>
          <w:rFonts w:ascii="Times New Roman" w:hAnsi="Times New Roman" w:cs="Times New Roman"/>
          <w:sz w:val="24"/>
          <w:szCs w:val="24"/>
        </w:rPr>
        <w:t xml:space="preserve">The collaboration </w:t>
      </w:r>
      <w:r w:rsidR="00457C62" w:rsidRPr="00FF6EA6">
        <w:rPr>
          <w:rFonts w:ascii="Times New Roman" w:hAnsi="Times New Roman" w:cs="Times New Roman"/>
          <w:sz w:val="24"/>
          <w:szCs w:val="24"/>
        </w:rPr>
        <w:t xml:space="preserve">began with these events.  </w:t>
      </w:r>
      <w:r w:rsidRPr="00FF6EA6">
        <w:rPr>
          <w:rFonts w:ascii="Times New Roman" w:hAnsi="Times New Roman" w:cs="Times New Roman"/>
          <w:sz w:val="24"/>
          <w:szCs w:val="24"/>
        </w:rPr>
        <w:t>A meeting with B C Elmore</w:t>
      </w:r>
      <w:r w:rsidR="006B38FD" w:rsidRPr="00FF6EA6">
        <w:rPr>
          <w:rFonts w:ascii="Times New Roman" w:hAnsi="Times New Roman" w:cs="Times New Roman"/>
          <w:sz w:val="24"/>
          <w:szCs w:val="24"/>
        </w:rPr>
        <w:t>, Principal Faith Fugit collaborated with the school’s open house and SHRC health fair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 on September 26.  The event was a </w:t>
      </w:r>
      <w:r w:rsidR="006B38FD" w:rsidRPr="00FF6EA6">
        <w:rPr>
          <w:rFonts w:ascii="Times New Roman" w:hAnsi="Times New Roman" w:cs="Times New Roman"/>
          <w:sz w:val="24"/>
          <w:szCs w:val="24"/>
        </w:rPr>
        <w:t>success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 and data </w:t>
      </w:r>
      <w:r w:rsidR="0079083F" w:rsidRPr="00FF6EA6">
        <w:rPr>
          <w:rFonts w:ascii="Times New Roman" w:hAnsi="Times New Roman" w:cs="Times New Roman"/>
          <w:sz w:val="24"/>
          <w:szCs w:val="24"/>
        </w:rPr>
        <w:t>were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 collected</w:t>
      </w:r>
      <w:r w:rsidR="006B38FD" w:rsidRPr="00FF6EA6">
        <w:rPr>
          <w:rFonts w:ascii="Times New Roman" w:hAnsi="Times New Roman" w:cs="Times New Roman"/>
          <w:sz w:val="24"/>
          <w:szCs w:val="24"/>
        </w:rPr>
        <w:t xml:space="preserve">.  STAJS Consultant and SHRC named the community “Community of Churches” 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which are all </w:t>
      </w:r>
      <w:r w:rsidR="006B38FD" w:rsidRPr="00FF6EA6">
        <w:rPr>
          <w:rFonts w:ascii="Times New Roman" w:hAnsi="Times New Roman" w:cs="Times New Roman"/>
          <w:sz w:val="24"/>
          <w:szCs w:val="24"/>
        </w:rPr>
        <w:t>over 20 + years</w:t>
      </w:r>
      <w:r w:rsidR="00457C62" w:rsidRPr="00FF6EA6">
        <w:rPr>
          <w:rFonts w:ascii="Times New Roman" w:hAnsi="Times New Roman" w:cs="Times New Roman"/>
          <w:sz w:val="24"/>
          <w:szCs w:val="24"/>
        </w:rPr>
        <w:t xml:space="preserve"> with 35+ churches</w:t>
      </w:r>
      <w:r w:rsidR="006B38FD" w:rsidRPr="00FF6EA6">
        <w:rPr>
          <w:rFonts w:ascii="Times New Roman" w:hAnsi="Times New Roman" w:cs="Times New Roman"/>
          <w:sz w:val="24"/>
          <w:szCs w:val="24"/>
        </w:rPr>
        <w:t xml:space="preserve">.  A </w:t>
      </w:r>
      <w:r w:rsidRPr="00FF6EA6">
        <w:rPr>
          <w:rFonts w:ascii="Times New Roman" w:hAnsi="Times New Roman" w:cs="Times New Roman"/>
          <w:sz w:val="24"/>
          <w:szCs w:val="24"/>
        </w:rPr>
        <w:t xml:space="preserve">Pastoral Council </w:t>
      </w:r>
      <w:r w:rsidR="006B38FD" w:rsidRPr="00FF6EA6">
        <w:rPr>
          <w:rFonts w:ascii="Times New Roman" w:hAnsi="Times New Roman" w:cs="Times New Roman"/>
          <w:sz w:val="24"/>
          <w:szCs w:val="24"/>
        </w:rPr>
        <w:t xml:space="preserve">of 8 ministers 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on September 13. </w:t>
      </w:r>
      <w:r w:rsidR="006B38FD" w:rsidRPr="00FF6EA6">
        <w:rPr>
          <w:rFonts w:ascii="Times New Roman" w:hAnsi="Times New Roman" w:cs="Times New Roman"/>
          <w:sz w:val="24"/>
          <w:szCs w:val="24"/>
        </w:rPr>
        <w:t>discuss</w:t>
      </w:r>
      <w:r w:rsidR="0094785C" w:rsidRPr="00FF6EA6">
        <w:rPr>
          <w:rFonts w:ascii="Times New Roman" w:hAnsi="Times New Roman" w:cs="Times New Roman"/>
          <w:sz w:val="24"/>
          <w:szCs w:val="24"/>
        </w:rPr>
        <w:t>ed</w:t>
      </w:r>
      <w:r w:rsidR="006B38FD" w:rsidRPr="00FF6EA6">
        <w:rPr>
          <w:rFonts w:ascii="Times New Roman" w:hAnsi="Times New Roman" w:cs="Times New Roman"/>
          <w:sz w:val="24"/>
          <w:szCs w:val="24"/>
        </w:rPr>
        <w:t xml:space="preserve"> the 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distressed issues in the </w:t>
      </w:r>
      <w:r w:rsidR="006B38FD" w:rsidRPr="00FF6EA6">
        <w:rPr>
          <w:rFonts w:ascii="Times New Roman" w:hAnsi="Times New Roman" w:cs="Times New Roman"/>
          <w:sz w:val="24"/>
          <w:szCs w:val="24"/>
        </w:rPr>
        <w:t xml:space="preserve">community and applying for the National Historical Preservation funds to create 3 landmarks for 2020.  </w:t>
      </w:r>
      <w:r w:rsidR="00457C62" w:rsidRPr="00FF6EA6">
        <w:rPr>
          <w:rFonts w:ascii="Times New Roman" w:hAnsi="Times New Roman" w:cs="Times New Roman"/>
          <w:sz w:val="24"/>
          <w:szCs w:val="24"/>
        </w:rPr>
        <w:t xml:space="preserve">On August 7 we met with Lone Star Legal Aid 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(LSLA) </w:t>
      </w:r>
      <w:r w:rsidR="00457C62" w:rsidRPr="00FF6EA6">
        <w:rPr>
          <w:rFonts w:ascii="Times New Roman" w:hAnsi="Times New Roman" w:cs="Times New Roman"/>
          <w:sz w:val="24"/>
          <w:szCs w:val="24"/>
        </w:rPr>
        <w:t xml:space="preserve">to discuss legal assistance and got approval on </w:t>
      </w:r>
      <w:r w:rsidR="00013BBE" w:rsidRPr="00FF6EA6">
        <w:rPr>
          <w:rFonts w:ascii="Times New Roman" w:hAnsi="Times New Roman" w:cs="Times New Roman"/>
          <w:sz w:val="24"/>
          <w:szCs w:val="24"/>
        </w:rPr>
        <w:t>August 27 as a group client</w:t>
      </w:r>
      <w:r w:rsidR="00457C62" w:rsidRPr="00FF6EA6">
        <w:rPr>
          <w:rFonts w:ascii="Times New Roman" w:hAnsi="Times New Roman" w:cs="Times New Roman"/>
          <w:sz w:val="24"/>
          <w:szCs w:val="24"/>
        </w:rPr>
        <w:t>.  On September 26</w:t>
      </w:r>
      <w:r w:rsidR="00013BBE" w:rsidRPr="00FF6EA6">
        <w:rPr>
          <w:rFonts w:ascii="Times New Roman" w:hAnsi="Times New Roman" w:cs="Times New Roman"/>
          <w:sz w:val="24"/>
          <w:szCs w:val="24"/>
        </w:rPr>
        <w:t>, LSLA</w:t>
      </w:r>
      <w:r w:rsidR="00457C62" w:rsidRPr="00FF6EA6">
        <w:rPr>
          <w:rFonts w:ascii="Times New Roman" w:hAnsi="Times New Roman" w:cs="Times New Roman"/>
          <w:sz w:val="24"/>
          <w:szCs w:val="24"/>
        </w:rPr>
        <w:t xml:space="preserve"> met 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with SHRC and </w:t>
      </w:r>
      <w:r w:rsidR="00457C62" w:rsidRPr="00FF6EA6">
        <w:rPr>
          <w:rFonts w:ascii="Times New Roman" w:hAnsi="Times New Roman" w:cs="Times New Roman"/>
          <w:sz w:val="24"/>
          <w:szCs w:val="24"/>
        </w:rPr>
        <w:t xml:space="preserve">the Pastoral Council 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to discuss community issues </w:t>
      </w:r>
      <w:r w:rsidR="00457C62" w:rsidRPr="00FF6EA6">
        <w:rPr>
          <w:rFonts w:ascii="Times New Roman" w:hAnsi="Times New Roman" w:cs="Times New Roman"/>
          <w:sz w:val="24"/>
          <w:szCs w:val="24"/>
        </w:rPr>
        <w:t xml:space="preserve">and tour Settegast for legal assistance.  </w:t>
      </w:r>
      <w:r w:rsidR="006B38FD" w:rsidRPr="00FF6EA6">
        <w:rPr>
          <w:rFonts w:ascii="Times New Roman" w:hAnsi="Times New Roman" w:cs="Times New Roman"/>
          <w:sz w:val="24"/>
          <w:szCs w:val="24"/>
        </w:rPr>
        <w:t xml:space="preserve">SHRC coordinated with Hometown Senior Living facilities 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with a </w:t>
      </w:r>
      <w:r w:rsidR="006B38FD" w:rsidRPr="00FF6EA6">
        <w:rPr>
          <w:rFonts w:ascii="Times New Roman" w:hAnsi="Times New Roman" w:cs="Times New Roman"/>
          <w:sz w:val="24"/>
          <w:szCs w:val="24"/>
        </w:rPr>
        <w:t>Line Dance and Bar-b-que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 event 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on September 27.  The event was a </w:t>
      </w:r>
      <w:r w:rsidR="006B38FD" w:rsidRPr="00FF6EA6">
        <w:rPr>
          <w:rFonts w:ascii="Times New Roman" w:hAnsi="Times New Roman" w:cs="Times New Roman"/>
          <w:sz w:val="24"/>
          <w:szCs w:val="24"/>
        </w:rPr>
        <w:t>success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 and data </w:t>
      </w:r>
      <w:r w:rsidR="0079083F" w:rsidRPr="00FF6EA6">
        <w:rPr>
          <w:rFonts w:ascii="Times New Roman" w:hAnsi="Times New Roman" w:cs="Times New Roman"/>
          <w:sz w:val="24"/>
          <w:szCs w:val="24"/>
        </w:rPr>
        <w:t>were</w:t>
      </w:r>
      <w:r w:rsidR="0094785C" w:rsidRPr="00FF6EA6">
        <w:rPr>
          <w:rFonts w:ascii="Times New Roman" w:hAnsi="Times New Roman" w:cs="Times New Roman"/>
          <w:sz w:val="24"/>
          <w:szCs w:val="24"/>
        </w:rPr>
        <w:t xml:space="preserve"> collected.</w:t>
      </w:r>
      <w:r w:rsidR="006B38FD" w:rsidRPr="00FF6E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D1534E" w14:textId="583178B3" w:rsidR="00330839" w:rsidRPr="00FF6EA6" w:rsidRDefault="0094785C" w:rsidP="00065363">
      <w:pPr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 xml:space="preserve">SHRC meeting to create a small neighborhood action plan (SNAP) for 2020-2022 forecast with the </w:t>
      </w:r>
      <w:r w:rsidR="005F67FC">
        <w:rPr>
          <w:rFonts w:ascii="Times New Roman" w:hAnsi="Times New Roman" w:cs="Times New Roman"/>
          <w:sz w:val="24"/>
          <w:szCs w:val="24"/>
        </w:rPr>
        <w:t>8</w:t>
      </w:r>
      <w:r w:rsidRPr="00FF6EA6">
        <w:rPr>
          <w:rFonts w:ascii="Times New Roman" w:hAnsi="Times New Roman" w:cs="Times New Roman"/>
          <w:sz w:val="24"/>
          <w:szCs w:val="24"/>
        </w:rPr>
        <w:t xml:space="preserve"> urban planning principles.  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Future meeting engagements with the business owners and HISD elementary, middle, high school principals and the Wraparound </w:t>
      </w:r>
      <w:r w:rsidR="00433376">
        <w:rPr>
          <w:rFonts w:ascii="Times New Roman" w:hAnsi="Times New Roman" w:cs="Times New Roman"/>
          <w:sz w:val="24"/>
          <w:szCs w:val="24"/>
        </w:rPr>
        <w:t>S</w:t>
      </w:r>
      <w:r w:rsidR="00013BBE" w:rsidRPr="00FF6EA6">
        <w:rPr>
          <w:rFonts w:ascii="Times New Roman" w:hAnsi="Times New Roman" w:cs="Times New Roman"/>
          <w:sz w:val="24"/>
          <w:szCs w:val="24"/>
        </w:rPr>
        <w:t>pecialist on need assessment for the school</w:t>
      </w:r>
      <w:r w:rsidR="00FF6EA6" w:rsidRPr="00FF6EA6">
        <w:rPr>
          <w:rFonts w:ascii="Times New Roman" w:hAnsi="Times New Roman" w:cs="Times New Roman"/>
          <w:sz w:val="24"/>
          <w:szCs w:val="24"/>
        </w:rPr>
        <w:t>’s</w:t>
      </w:r>
      <w:r w:rsidR="00B41066" w:rsidRPr="00FF6EA6">
        <w:rPr>
          <w:rFonts w:ascii="Times New Roman" w:hAnsi="Times New Roman" w:cs="Times New Roman"/>
          <w:sz w:val="24"/>
          <w:szCs w:val="24"/>
        </w:rPr>
        <w:t xml:space="preserve"> feeder pattern</w:t>
      </w:r>
      <w:r w:rsidR="00BF01C3">
        <w:rPr>
          <w:rFonts w:ascii="Times New Roman" w:hAnsi="Times New Roman" w:cs="Times New Roman"/>
          <w:sz w:val="24"/>
          <w:szCs w:val="24"/>
        </w:rPr>
        <w:t xml:space="preserve"> program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.  The </w:t>
      </w:r>
      <w:r w:rsidR="00BF01C3">
        <w:rPr>
          <w:rFonts w:ascii="Times New Roman" w:hAnsi="Times New Roman" w:cs="Times New Roman"/>
          <w:sz w:val="24"/>
          <w:szCs w:val="24"/>
        </w:rPr>
        <w:t xml:space="preserve">need for </w:t>
      </w:r>
      <w:r w:rsidR="00013BBE" w:rsidRPr="00FF6EA6">
        <w:rPr>
          <w:rFonts w:ascii="Times New Roman" w:hAnsi="Times New Roman" w:cs="Times New Roman"/>
          <w:sz w:val="24"/>
          <w:szCs w:val="24"/>
        </w:rPr>
        <w:t xml:space="preserve">connection with HCC North Forest NE campus, President Dr. </w:t>
      </w:r>
      <w:r w:rsidR="00B41066" w:rsidRPr="00FF6EA6">
        <w:rPr>
          <w:rFonts w:ascii="Times New Roman" w:hAnsi="Times New Roman" w:cs="Times New Roman"/>
          <w:sz w:val="24"/>
          <w:szCs w:val="24"/>
        </w:rPr>
        <w:t xml:space="preserve">Monique </w:t>
      </w:r>
      <w:r w:rsidR="00013BBE" w:rsidRPr="00FF6EA6">
        <w:rPr>
          <w:rFonts w:ascii="Times New Roman" w:hAnsi="Times New Roman" w:cs="Times New Roman"/>
          <w:sz w:val="24"/>
          <w:szCs w:val="24"/>
        </w:rPr>
        <w:t>Umphrey</w:t>
      </w:r>
      <w:r w:rsidR="00B41066" w:rsidRPr="00FF6EA6">
        <w:rPr>
          <w:rFonts w:ascii="Times New Roman" w:hAnsi="Times New Roman" w:cs="Times New Roman"/>
          <w:sz w:val="24"/>
          <w:szCs w:val="24"/>
        </w:rPr>
        <w:t xml:space="preserve"> for new student enrollment.  </w:t>
      </w:r>
    </w:p>
    <w:p w14:paraId="0F936302" w14:textId="77777777" w:rsidR="00127156" w:rsidRDefault="0079083F" w:rsidP="00065363">
      <w:pPr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>One trend in planning is assisting and advocating for small low-income underserved communities for the greater good.  STAJS Consultant passion is to serve small communities of color needing solutions for socioeconomic growth, housing affordability, entrep</w:t>
      </w:r>
      <w:r w:rsidR="007B55B3" w:rsidRPr="00FF6EA6">
        <w:rPr>
          <w:rFonts w:ascii="Times New Roman" w:hAnsi="Times New Roman" w:cs="Times New Roman"/>
          <w:sz w:val="24"/>
          <w:szCs w:val="24"/>
        </w:rPr>
        <w:t>reneurship, youthification, beautification and faith-based organization collaboration with community engagement for better quality of life</w:t>
      </w:r>
      <w:r w:rsidRPr="00FF6EA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FC4F6A" w14:textId="0CAC46CA" w:rsidR="00AE3F9E" w:rsidRDefault="007B55B3" w:rsidP="00065363">
      <w:pPr>
        <w:rPr>
          <w:rFonts w:ascii="Times New Roman" w:hAnsi="Times New Roman" w:cs="Times New Roman"/>
          <w:sz w:val="24"/>
          <w:szCs w:val="24"/>
        </w:rPr>
      </w:pPr>
      <w:r w:rsidRPr="00FF6EA6">
        <w:rPr>
          <w:rFonts w:ascii="Times New Roman" w:hAnsi="Times New Roman" w:cs="Times New Roman"/>
          <w:sz w:val="24"/>
          <w:szCs w:val="24"/>
        </w:rPr>
        <w:t xml:space="preserve">I am asking for </w:t>
      </w:r>
      <w:r w:rsidR="00627991">
        <w:rPr>
          <w:rFonts w:ascii="Times New Roman" w:hAnsi="Times New Roman" w:cs="Times New Roman"/>
          <w:sz w:val="24"/>
          <w:szCs w:val="24"/>
        </w:rPr>
        <w:t>$</w:t>
      </w:r>
      <w:r w:rsidR="00877A6C">
        <w:rPr>
          <w:rFonts w:ascii="Times New Roman" w:hAnsi="Times New Roman" w:cs="Times New Roman"/>
          <w:sz w:val="24"/>
          <w:szCs w:val="24"/>
        </w:rPr>
        <w:t>65</w:t>
      </w:r>
      <w:r w:rsidR="00627991">
        <w:rPr>
          <w:rFonts w:ascii="Times New Roman" w:hAnsi="Times New Roman" w:cs="Times New Roman"/>
          <w:sz w:val="24"/>
          <w:szCs w:val="24"/>
        </w:rPr>
        <w:t>.000</w:t>
      </w:r>
      <w:r w:rsidR="00877A6C">
        <w:rPr>
          <w:rFonts w:ascii="Times New Roman" w:hAnsi="Times New Roman" w:cs="Times New Roman"/>
          <w:sz w:val="24"/>
          <w:szCs w:val="24"/>
        </w:rPr>
        <w:t xml:space="preserve"> with a 2-year contract</w:t>
      </w:r>
      <w:r w:rsidR="00B65F4E">
        <w:rPr>
          <w:rFonts w:ascii="Times New Roman" w:hAnsi="Times New Roman" w:cs="Times New Roman"/>
          <w:sz w:val="24"/>
          <w:szCs w:val="24"/>
        </w:rPr>
        <w:t xml:space="preserve"> </w:t>
      </w:r>
      <w:r w:rsidR="00343B3A">
        <w:rPr>
          <w:rFonts w:ascii="Times New Roman" w:hAnsi="Times New Roman" w:cs="Times New Roman"/>
          <w:sz w:val="24"/>
          <w:szCs w:val="24"/>
        </w:rPr>
        <w:t>as an Independent C</w:t>
      </w:r>
      <w:r w:rsidR="00B65F4E">
        <w:rPr>
          <w:rFonts w:ascii="Times New Roman" w:hAnsi="Times New Roman" w:cs="Times New Roman"/>
          <w:sz w:val="24"/>
          <w:szCs w:val="24"/>
        </w:rPr>
        <w:t>ontract</w:t>
      </w:r>
      <w:r w:rsidR="00343B3A">
        <w:rPr>
          <w:rFonts w:ascii="Times New Roman" w:hAnsi="Times New Roman" w:cs="Times New Roman"/>
          <w:sz w:val="24"/>
          <w:szCs w:val="24"/>
        </w:rPr>
        <w:t>or</w:t>
      </w:r>
      <w:r w:rsidR="00B65F4E">
        <w:rPr>
          <w:rFonts w:ascii="Times New Roman" w:hAnsi="Times New Roman" w:cs="Times New Roman"/>
          <w:sz w:val="24"/>
          <w:szCs w:val="24"/>
        </w:rPr>
        <w:t xml:space="preserve"> </w:t>
      </w:r>
      <w:r w:rsidR="00627991">
        <w:rPr>
          <w:rFonts w:ascii="Times New Roman" w:hAnsi="Times New Roman" w:cs="Times New Roman"/>
          <w:sz w:val="24"/>
          <w:szCs w:val="24"/>
        </w:rPr>
        <w:t>to continue the</w:t>
      </w:r>
      <w:r w:rsidR="00BF01C3">
        <w:rPr>
          <w:rFonts w:ascii="Times New Roman" w:hAnsi="Times New Roman" w:cs="Times New Roman"/>
          <w:sz w:val="24"/>
          <w:szCs w:val="24"/>
        </w:rPr>
        <w:t xml:space="preserve"> community </w:t>
      </w:r>
      <w:r w:rsidRPr="00FF6EA6">
        <w:rPr>
          <w:rFonts w:ascii="Times New Roman" w:hAnsi="Times New Roman" w:cs="Times New Roman"/>
          <w:sz w:val="24"/>
          <w:szCs w:val="24"/>
        </w:rPr>
        <w:t xml:space="preserve">partnership with </w:t>
      </w:r>
      <w:r w:rsidR="00BF01C3">
        <w:rPr>
          <w:rFonts w:ascii="Times New Roman" w:hAnsi="Times New Roman" w:cs="Times New Roman"/>
          <w:sz w:val="24"/>
          <w:szCs w:val="24"/>
        </w:rPr>
        <w:t xml:space="preserve">a </w:t>
      </w:r>
      <w:r w:rsidRPr="00FF6EA6">
        <w:rPr>
          <w:rFonts w:ascii="Times New Roman" w:hAnsi="Times New Roman" w:cs="Times New Roman"/>
          <w:sz w:val="24"/>
          <w:szCs w:val="24"/>
        </w:rPr>
        <w:t xml:space="preserve">personal connection with Dr. Francis, SHRC Community Director and the stakeholders to revitalize and rebuild an aging community.  </w:t>
      </w:r>
      <w:r w:rsidR="00627991">
        <w:rPr>
          <w:rFonts w:ascii="Times New Roman" w:hAnsi="Times New Roman" w:cs="Times New Roman"/>
          <w:sz w:val="24"/>
          <w:szCs w:val="24"/>
        </w:rPr>
        <w:t>The funds will offset</w:t>
      </w:r>
      <w:r w:rsidR="00127156">
        <w:rPr>
          <w:rFonts w:ascii="Times New Roman" w:hAnsi="Times New Roman" w:cs="Times New Roman"/>
          <w:sz w:val="24"/>
          <w:szCs w:val="24"/>
        </w:rPr>
        <w:t xml:space="preserve"> field wo</w:t>
      </w:r>
      <w:r w:rsidR="00BF01C3">
        <w:rPr>
          <w:rFonts w:ascii="Times New Roman" w:hAnsi="Times New Roman" w:cs="Times New Roman"/>
          <w:sz w:val="24"/>
          <w:szCs w:val="24"/>
        </w:rPr>
        <w:t>r</w:t>
      </w:r>
      <w:r w:rsidR="00127156">
        <w:rPr>
          <w:rFonts w:ascii="Times New Roman" w:hAnsi="Times New Roman" w:cs="Times New Roman"/>
          <w:sz w:val="24"/>
          <w:szCs w:val="24"/>
        </w:rPr>
        <w:t>k</w:t>
      </w:r>
      <w:r w:rsidR="00AE3F9E">
        <w:rPr>
          <w:rFonts w:ascii="Times New Roman" w:hAnsi="Times New Roman" w:cs="Times New Roman"/>
          <w:sz w:val="24"/>
          <w:szCs w:val="24"/>
        </w:rPr>
        <w:t xml:space="preserve">, </w:t>
      </w:r>
      <w:r w:rsidR="00627991">
        <w:rPr>
          <w:rFonts w:ascii="Times New Roman" w:hAnsi="Times New Roman" w:cs="Times New Roman"/>
          <w:sz w:val="24"/>
          <w:szCs w:val="24"/>
        </w:rPr>
        <w:t>operational cost, technology tools, marketing tools, community engagement</w:t>
      </w:r>
      <w:r w:rsidR="00BF01C3">
        <w:rPr>
          <w:rFonts w:ascii="Times New Roman" w:hAnsi="Times New Roman" w:cs="Times New Roman"/>
          <w:sz w:val="24"/>
          <w:szCs w:val="24"/>
        </w:rPr>
        <w:t>, meetings</w:t>
      </w:r>
      <w:r w:rsidR="00627991">
        <w:rPr>
          <w:rFonts w:ascii="Times New Roman" w:hAnsi="Times New Roman" w:cs="Times New Roman"/>
          <w:sz w:val="24"/>
          <w:szCs w:val="24"/>
        </w:rPr>
        <w:t xml:space="preserve"> and consulting fee.</w:t>
      </w:r>
      <w:r w:rsidR="00D70D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B5C3C" w14:textId="77777777" w:rsidR="00AE3F9E" w:rsidRDefault="00AE3F9E" w:rsidP="00065363">
      <w:pPr>
        <w:rPr>
          <w:rFonts w:ascii="Times New Roman" w:hAnsi="Times New Roman" w:cs="Times New Roman"/>
          <w:sz w:val="24"/>
          <w:szCs w:val="24"/>
        </w:rPr>
      </w:pPr>
    </w:p>
    <w:p w14:paraId="22777C4E" w14:textId="05DBE2D8" w:rsidR="00877A6C" w:rsidRDefault="00877A6C" w:rsidP="0062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  <w:t xml:space="preserve">You may reach me at 832-453-8586 or email me at </w:t>
      </w:r>
      <w:hyperlink r:id="rId13" w:history="1">
        <w:r w:rsidRPr="00F477B8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andret.rayford@att.net</w:t>
        </w:r>
      </w:hyperlink>
      <w:r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  <w:t xml:space="preserve"> at your convenience.</w:t>
      </w:r>
    </w:p>
    <w:p w14:paraId="5F9A231A" w14:textId="69A35644" w:rsidR="00877A6C" w:rsidRDefault="00877A6C" w:rsidP="0062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  <w:t>Thank you.</w:t>
      </w:r>
    </w:p>
    <w:p w14:paraId="3A314BFD" w14:textId="77777777" w:rsidR="00877A6C" w:rsidRDefault="00877A6C" w:rsidP="0062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</w:pPr>
    </w:p>
    <w:p w14:paraId="3DDB1D38" w14:textId="45171B1A" w:rsidR="00627991" w:rsidRPr="00433376" w:rsidRDefault="00627991" w:rsidP="0062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0"/>
          <w:szCs w:val="20"/>
        </w:rPr>
      </w:pPr>
      <w:r w:rsidRPr="00433376">
        <w:rPr>
          <w:rFonts w:ascii="Times New Roman" w:eastAsia="Times New Roman" w:hAnsi="Times New Roman" w:cs="Times New Roman"/>
          <w:b/>
          <w:bCs/>
          <w:color w:val="1D2228"/>
          <w:sz w:val="20"/>
          <w:szCs w:val="20"/>
        </w:rPr>
        <w:t>Andret Rayford</w:t>
      </w:r>
      <w:r w:rsidRPr="00433376">
        <w:rPr>
          <w:rFonts w:ascii="Times New Roman" w:eastAsia="Times New Roman" w:hAnsi="Times New Roman" w:cs="Times New Roman"/>
          <w:color w:val="1D2228"/>
          <w:sz w:val="20"/>
          <w:szCs w:val="20"/>
        </w:rPr>
        <w:t>, Founder and Program Director</w:t>
      </w:r>
    </w:p>
    <w:p w14:paraId="415423A8" w14:textId="53E8C570" w:rsidR="00D70DB2" w:rsidRPr="00627991" w:rsidRDefault="00627991" w:rsidP="0062799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433376">
        <w:rPr>
          <w:rFonts w:ascii="Times New Roman" w:eastAsia="Times New Roman" w:hAnsi="Times New Roman" w:cs="Times New Roman"/>
          <w:b/>
          <w:bCs/>
          <w:i/>
          <w:iCs/>
          <w:color w:val="1D2228"/>
          <w:sz w:val="20"/>
          <w:szCs w:val="20"/>
        </w:rPr>
        <w:t>STAJS Consultant, “THE PLACE</w:t>
      </w:r>
      <w:r>
        <w:rPr>
          <w:rFonts w:ascii="Helvetica" w:eastAsia="Times New Roman" w:hAnsi="Helvetica" w:cs="Helvetica"/>
          <w:b/>
          <w:bCs/>
          <w:i/>
          <w:iCs/>
          <w:color w:val="1D2228"/>
          <w:sz w:val="20"/>
          <w:szCs w:val="20"/>
        </w:rPr>
        <w:t>”</w:t>
      </w:r>
    </w:p>
    <w:sectPr w:rsidR="00D70DB2" w:rsidRPr="0062799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2E0B6" w14:textId="77777777" w:rsidR="0094785C" w:rsidRDefault="0094785C" w:rsidP="0094785C">
      <w:pPr>
        <w:spacing w:after="0" w:line="240" w:lineRule="auto"/>
      </w:pPr>
      <w:r>
        <w:separator/>
      </w:r>
    </w:p>
  </w:endnote>
  <w:endnote w:type="continuationSeparator" w:id="0">
    <w:p w14:paraId="5EBDCBCA" w14:textId="77777777" w:rsidR="0094785C" w:rsidRDefault="0094785C" w:rsidP="009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673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E355F9" w14:textId="3ADBBA07" w:rsidR="0094785C" w:rsidRDefault="0094785C">
        <w:pPr>
          <w:pStyle w:val="Footer"/>
          <w:jc w:val="right"/>
        </w:pPr>
        <w:r>
          <w:t>Rayford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1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F976198" w14:textId="77777777" w:rsidR="0094785C" w:rsidRDefault="00947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411F" w14:textId="77777777" w:rsidR="0094785C" w:rsidRDefault="0094785C" w:rsidP="0094785C">
      <w:pPr>
        <w:spacing w:after="0" w:line="240" w:lineRule="auto"/>
      </w:pPr>
      <w:r>
        <w:separator/>
      </w:r>
    </w:p>
  </w:footnote>
  <w:footnote w:type="continuationSeparator" w:id="0">
    <w:p w14:paraId="12D8CBE8" w14:textId="77777777" w:rsidR="0094785C" w:rsidRDefault="0094785C" w:rsidP="00947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228CE"/>
    <w:multiLevelType w:val="hybridMultilevel"/>
    <w:tmpl w:val="511E66C2"/>
    <w:lvl w:ilvl="0" w:tplc="BD2CE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0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EE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C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2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E1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C3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0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8E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DF38AF"/>
    <w:multiLevelType w:val="hybridMultilevel"/>
    <w:tmpl w:val="931AF266"/>
    <w:lvl w:ilvl="0" w:tplc="BDA4D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62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C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A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0F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6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16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E2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36008B8"/>
    <w:multiLevelType w:val="hybridMultilevel"/>
    <w:tmpl w:val="3D400F06"/>
    <w:lvl w:ilvl="0" w:tplc="C59CA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61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0A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4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83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F8E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67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4A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3D39B8"/>
    <w:multiLevelType w:val="hybridMultilevel"/>
    <w:tmpl w:val="1A4A0352"/>
    <w:lvl w:ilvl="0" w:tplc="E08C0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8F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32D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66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4F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8F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6E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E9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29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5D"/>
    <w:rsid w:val="00013BBE"/>
    <w:rsid w:val="00031330"/>
    <w:rsid w:val="00065363"/>
    <w:rsid w:val="00127156"/>
    <w:rsid w:val="00303E48"/>
    <w:rsid w:val="00330839"/>
    <w:rsid w:val="00343B3A"/>
    <w:rsid w:val="00355C71"/>
    <w:rsid w:val="00356E74"/>
    <w:rsid w:val="00421F5D"/>
    <w:rsid w:val="00433376"/>
    <w:rsid w:val="00457C62"/>
    <w:rsid w:val="00582B55"/>
    <w:rsid w:val="005F53BB"/>
    <w:rsid w:val="005F67FC"/>
    <w:rsid w:val="00627991"/>
    <w:rsid w:val="0069510A"/>
    <w:rsid w:val="006B38FD"/>
    <w:rsid w:val="006D4933"/>
    <w:rsid w:val="0079083F"/>
    <w:rsid w:val="007B55B3"/>
    <w:rsid w:val="007C1AE4"/>
    <w:rsid w:val="00877A6C"/>
    <w:rsid w:val="0094785C"/>
    <w:rsid w:val="00957B65"/>
    <w:rsid w:val="00A36BF5"/>
    <w:rsid w:val="00AD62E4"/>
    <w:rsid w:val="00AE3F9E"/>
    <w:rsid w:val="00B03718"/>
    <w:rsid w:val="00B41066"/>
    <w:rsid w:val="00B6520B"/>
    <w:rsid w:val="00B65F4E"/>
    <w:rsid w:val="00BF01C3"/>
    <w:rsid w:val="00BF52B6"/>
    <w:rsid w:val="00D70DB2"/>
    <w:rsid w:val="00D93C9D"/>
    <w:rsid w:val="00D94E35"/>
    <w:rsid w:val="00DD2D2D"/>
    <w:rsid w:val="00DF6B03"/>
    <w:rsid w:val="00E81AE3"/>
    <w:rsid w:val="00F55A66"/>
    <w:rsid w:val="00F901F0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7F094"/>
  <w15:chartTrackingRefBased/>
  <w15:docId w15:val="{5BC48C6F-1F8F-4EFC-841C-A42B6D3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85C"/>
  </w:style>
  <w:style w:type="paragraph" w:styleId="Footer">
    <w:name w:val="footer"/>
    <w:basedOn w:val="Normal"/>
    <w:link w:val="FooterChar"/>
    <w:uiPriority w:val="99"/>
    <w:unhideWhenUsed/>
    <w:rsid w:val="00947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5C"/>
  </w:style>
  <w:style w:type="character" w:styleId="Hyperlink">
    <w:name w:val="Hyperlink"/>
    <w:basedOn w:val="DefaultParagraphFont"/>
    <w:uiPriority w:val="99"/>
    <w:unhideWhenUsed/>
    <w:rsid w:val="00A36B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B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6B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4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3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tontx.gov/planning/Demographics/docs_pdfs/SN/50_Settegast.pdf" TargetMode="External"/><Relationship Id="rId13" Type="http://schemas.openxmlformats.org/officeDocument/2006/relationships/hyperlink" Target="mailto:andret.rayford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ity-data.com/neighborhood/Settegast-Houston-T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Andret Rayford</dc:creator>
  <cp:keywords/>
  <dc:description/>
  <cp:lastModifiedBy>Andret Rayford</cp:lastModifiedBy>
  <cp:revision>3</cp:revision>
  <dcterms:created xsi:type="dcterms:W3CDTF">2019-11-21T23:38:00Z</dcterms:created>
  <dcterms:modified xsi:type="dcterms:W3CDTF">2019-12-08T19:55:00Z</dcterms:modified>
</cp:coreProperties>
</file>